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00" w:rsidRDefault="00A07CAE" w:rsidP="00BE2400">
      <w:pPr>
        <w:pStyle w:val="NoSpacing"/>
        <w:jc w:val="center"/>
        <w:rPr>
          <w:b/>
          <w:sz w:val="24"/>
        </w:rPr>
      </w:pPr>
      <w:r>
        <w:rPr>
          <w:b/>
          <w:sz w:val="24"/>
        </w:rPr>
        <w:t>Targeting</w:t>
      </w:r>
      <w:r w:rsidR="00BE2400" w:rsidRPr="00BE2400">
        <w:rPr>
          <w:b/>
          <w:sz w:val="24"/>
        </w:rPr>
        <w:t xml:space="preserve"> the </w:t>
      </w:r>
      <w:r w:rsidR="00BE2400" w:rsidRPr="00BE2400">
        <w:rPr>
          <w:b/>
          <w:i/>
          <w:sz w:val="24"/>
        </w:rPr>
        <w:t>“Bottom of the Pyramid”</w:t>
      </w:r>
      <w:r>
        <w:rPr>
          <w:b/>
          <w:sz w:val="24"/>
        </w:rPr>
        <w:t xml:space="preserve"> </w:t>
      </w:r>
    </w:p>
    <w:p w:rsidR="00BE2400" w:rsidRDefault="00BE2400" w:rsidP="00BE2400">
      <w:pPr>
        <w:pStyle w:val="NoSpacing"/>
        <w:jc w:val="center"/>
        <w:rPr>
          <w:i/>
          <w:sz w:val="24"/>
        </w:rPr>
      </w:pPr>
      <w:r>
        <w:rPr>
          <w:i/>
          <w:sz w:val="24"/>
        </w:rPr>
        <w:t>A paper presented during the Joint Regional Symposium on</w:t>
      </w:r>
    </w:p>
    <w:p w:rsidR="00BE2400" w:rsidRDefault="00BE2400" w:rsidP="00BE2400">
      <w:pPr>
        <w:pStyle w:val="NoSpacing"/>
        <w:jc w:val="center"/>
        <w:rPr>
          <w:i/>
          <w:sz w:val="24"/>
        </w:rPr>
      </w:pPr>
      <w:r>
        <w:rPr>
          <w:i/>
          <w:sz w:val="24"/>
        </w:rPr>
        <w:t>“Best Practice Regulatory Principles Supporting MSME Access to Finance</w:t>
      </w:r>
    </w:p>
    <w:p w:rsidR="00BE2400" w:rsidRDefault="00BE2400" w:rsidP="00BE2400">
      <w:pPr>
        <w:pStyle w:val="NoSpacing"/>
        <w:jc w:val="center"/>
        <w:rPr>
          <w:i/>
          <w:sz w:val="24"/>
        </w:rPr>
      </w:pPr>
      <w:r>
        <w:rPr>
          <w:i/>
          <w:sz w:val="24"/>
        </w:rPr>
        <w:t>Manila, Philippines, June 27</w:t>
      </w:r>
      <w:r w:rsidRPr="00BE2400">
        <w:rPr>
          <w:i/>
          <w:sz w:val="24"/>
          <w:vertAlign w:val="superscript"/>
        </w:rPr>
        <w:t>th</w:t>
      </w:r>
      <w:r>
        <w:rPr>
          <w:i/>
          <w:sz w:val="24"/>
        </w:rPr>
        <w:t xml:space="preserve"> and 28</w:t>
      </w:r>
      <w:r w:rsidRPr="00BE2400">
        <w:rPr>
          <w:i/>
          <w:sz w:val="24"/>
          <w:vertAlign w:val="superscript"/>
        </w:rPr>
        <w:t>th</w:t>
      </w:r>
      <w:r>
        <w:rPr>
          <w:i/>
          <w:sz w:val="24"/>
        </w:rPr>
        <w:t xml:space="preserve"> 2011</w:t>
      </w:r>
    </w:p>
    <w:p w:rsidR="00BE2400" w:rsidRDefault="00BE2400" w:rsidP="00BE2400">
      <w:pPr>
        <w:pStyle w:val="NoSpacing"/>
        <w:jc w:val="center"/>
        <w:rPr>
          <w:i/>
          <w:sz w:val="24"/>
        </w:rPr>
      </w:pPr>
    </w:p>
    <w:p w:rsidR="00BE2400" w:rsidRDefault="00BE2400" w:rsidP="00BE2400">
      <w:pPr>
        <w:pStyle w:val="NoSpacing"/>
        <w:jc w:val="both"/>
        <w:rPr>
          <w:sz w:val="24"/>
        </w:rPr>
      </w:pPr>
    </w:p>
    <w:p w:rsidR="00BE2400" w:rsidRDefault="00BE2400" w:rsidP="00BE2400">
      <w:pPr>
        <w:pStyle w:val="NoSpacing"/>
        <w:jc w:val="both"/>
        <w:rPr>
          <w:sz w:val="24"/>
        </w:rPr>
      </w:pPr>
      <w:r>
        <w:rPr>
          <w:sz w:val="24"/>
        </w:rPr>
        <w:tab/>
        <w:t>Compared to the more sophisticated financial pro</w:t>
      </w:r>
      <w:r w:rsidR="00455EFD">
        <w:rPr>
          <w:sz w:val="24"/>
        </w:rPr>
        <w:t>ducts required by big corporate</w:t>
      </w:r>
      <w:r w:rsidR="00C74E11">
        <w:rPr>
          <w:sz w:val="24"/>
        </w:rPr>
        <w:t>s</w:t>
      </w:r>
      <w:r w:rsidR="00455EFD">
        <w:rPr>
          <w:sz w:val="24"/>
        </w:rPr>
        <w:t>,</w:t>
      </w:r>
      <w:r>
        <w:rPr>
          <w:sz w:val="24"/>
        </w:rPr>
        <w:t xml:space="preserve"> the “bott</w:t>
      </w:r>
      <w:r w:rsidR="00663C77">
        <w:rPr>
          <w:sz w:val="24"/>
        </w:rPr>
        <w:t>om of the pyramid” market</w:t>
      </w:r>
      <w:r>
        <w:rPr>
          <w:sz w:val="24"/>
        </w:rPr>
        <w:t xml:space="preserve"> have much simpler financial requirements.  What does differentiate the BOP segment is</w:t>
      </w:r>
      <w:r w:rsidR="00663C77">
        <w:rPr>
          <w:sz w:val="24"/>
        </w:rPr>
        <w:t xml:space="preserve"> the unique characteristics micro</w:t>
      </w:r>
      <w:r>
        <w:rPr>
          <w:sz w:val="24"/>
        </w:rPr>
        <w:t xml:space="preserve">entrepreneurs have.  </w:t>
      </w:r>
      <w:r w:rsidR="00663C77">
        <w:rPr>
          <w:sz w:val="24"/>
        </w:rPr>
        <w:t>The “bottom of the pyramid” has always been the milieu of informal lenders/money lenders, thus, financial institutions wanting to go down market would have to undertake a paradigm shift in the way they deal with the sector.</w:t>
      </w:r>
    </w:p>
    <w:p w:rsidR="00663C77" w:rsidRDefault="00663C77" w:rsidP="00BE2400">
      <w:pPr>
        <w:pStyle w:val="NoSpacing"/>
        <w:jc w:val="both"/>
        <w:rPr>
          <w:sz w:val="24"/>
        </w:rPr>
      </w:pPr>
    </w:p>
    <w:p w:rsidR="00BE2400" w:rsidRDefault="00BE2400" w:rsidP="00BE2400">
      <w:pPr>
        <w:pStyle w:val="NoSpacing"/>
        <w:jc w:val="both"/>
        <w:rPr>
          <w:b/>
          <w:sz w:val="24"/>
          <w:u w:val="single"/>
        </w:rPr>
      </w:pPr>
      <w:r>
        <w:rPr>
          <w:b/>
          <w:sz w:val="24"/>
          <w:u w:val="single"/>
        </w:rPr>
        <w:t>The “Bottom of the Pyramid”</w:t>
      </w:r>
    </w:p>
    <w:p w:rsidR="00BE2400" w:rsidRDefault="00BE2400" w:rsidP="00BE2400">
      <w:pPr>
        <w:pStyle w:val="NoSpacing"/>
        <w:jc w:val="both"/>
        <w:rPr>
          <w:b/>
          <w:sz w:val="24"/>
          <w:u w:val="single"/>
        </w:rPr>
      </w:pPr>
    </w:p>
    <w:p w:rsidR="00BE2400" w:rsidRPr="00663C77" w:rsidRDefault="00BE2400" w:rsidP="00BE2400">
      <w:pPr>
        <w:pStyle w:val="NoSpacing"/>
        <w:jc w:val="both"/>
        <w:rPr>
          <w:sz w:val="24"/>
        </w:rPr>
      </w:pPr>
      <w:r>
        <w:rPr>
          <w:sz w:val="24"/>
        </w:rPr>
        <w:tab/>
        <w:t>There are presently over 4 billion people who comprise the “bottom of the pyramid” market segment.</w:t>
      </w:r>
      <w:r w:rsidR="00D513A3">
        <w:rPr>
          <w:sz w:val="24"/>
        </w:rPr>
        <w:t xml:space="preserve">  These are individuals who subsists</w:t>
      </w:r>
      <w:r>
        <w:rPr>
          <w:sz w:val="24"/>
        </w:rPr>
        <w:t xml:space="preserve"> on less than $2.00 a day</w:t>
      </w:r>
      <w:r w:rsidR="00663C77">
        <w:rPr>
          <w:sz w:val="24"/>
        </w:rPr>
        <w:t>; the</w:t>
      </w:r>
      <w:r w:rsidR="00D513A3">
        <w:rPr>
          <w:sz w:val="24"/>
        </w:rPr>
        <w:t xml:space="preserve"> </w:t>
      </w:r>
      <w:r w:rsidR="00455EFD">
        <w:rPr>
          <w:sz w:val="24"/>
        </w:rPr>
        <w:t>BOP segment accounts for</w:t>
      </w:r>
      <w:r w:rsidR="00D513A3">
        <w:rPr>
          <w:sz w:val="24"/>
        </w:rPr>
        <w:t xml:space="preserve"> over 68% of the world’</w:t>
      </w:r>
      <w:r w:rsidR="00663C77">
        <w:rPr>
          <w:sz w:val="24"/>
        </w:rPr>
        <w:t>s population.  This segment has been below</w:t>
      </w:r>
      <w:r w:rsidR="00E31224">
        <w:rPr>
          <w:sz w:val="24"/>
        </w:rPr>
        <w:t xml:space="preserve"> the</w:t>
      </w:r>
      <w:r w:rsidR="00663C77">
        <w:rPr>
          <w:sz w:val="24"/>
        </w:rPr>
        <w:t xml:space="preserve"> radar of most financial institutions primarily because they were</w:t>
      </w:r>
      <w:r w:rsidR="00E31224">
        <w:rPr>
          <w:sz w:val="24"/>
        </w:rPr>
        <w:t xml:space="preserve"> thought to be “poor”, thus, un-bankable.   If this segment were truly “un-bankable” how does one explain the presence of so many</w:t>
      </w:r>
      <w:r w:rsidR="00C74E11">
        <w:rPr>
          <w:sz w:val="24"/>
        </w:rPr>
        <w:t xml:space="preserve"> money lenders providing this segment</w:t>
      </w:r>
      <w:r w:rsidR="00E31224">
        <w:rPr>
          <w:sz w:val="24"/>
        </w:rPr>
        <w:t xml:space="preserve"> with much-needed financial services.  Why, inspite of the exhorbitant lending rates, do people at the BOP still resort to borrowing from moneylenders?  The answer is simple – the formal financial sector still has to come up with products that specifically address the needs of the BOP segment, whil</w:t>
      </w:r>
      <w:r w:rsidR="00663C77">
        <w:rPr>
          <w:sz w:val="24"/>
        </w:rPr>
        <w:t xml:space="preserve">e making allowances for </w:t>
      </w:r>
      <w:r w:rsidR="00E31224">
        <w:rPr>
          <w:sz w:val="24"/>
        </w:rPr>
        <w:t xml:space="preserve"> inherent characteristics of the sector – </w:t>
      </w:r>
      <w:r w:rsidR="00663C77">
        <w:rPr>
          <w:sz w:val="24"/>
        </w:rPr>
        <w:t xml:space="preserve">working at the “bottom of the pyramid” requires one to </w:t>
      </w:r>
      <w:r w:rsidR="00E31224">
        <w:rPr>
          <w:sz w:val="24"/>
        </w:rPr>
        <w:t xml:space="preserve"> “think out of the box.”</w:t>
      </w:r>
      <w:r w:rsidR="00455EFD">
        <w:rPr>
          <w:sz w:val="24"/>
        </w:rPr>
        <w:t xml:space="preserve">  </w:t>
      </w:r>
      <w:r w:rsidR="00663C77">
        <w:rPr>
          <w:sz w:val="24"/>
        </w:rPr>
        <w:t>At the “bottom of the pyramid”</w:t>
      </w:r>
      <w:r w:rsidR="00D540CA">
        <w:rPr>
          <w:sz w:val="24"/>
        </w:rPr>
        <w:t xml:space="preserve"> the name of the game is “speed” - </w:t>
      </w:r>
      <w:r w:rsidR="00663C77">
        <w:rPr>
          <w:sz w:val="24"/>
        </w:rPr>
        <w:t xml:space="preserve"> </w:t>
      </w:r>
      <w:r w:rsidR="00663C77" w:rsidRPr="005C7C1B">
        <w:rPr>
          <w:i/>
          <w:sz w:val="24"/>
        </w:rPr>
        <w:t>“</w:t>
      </w:r>
      <w:r w:rsidR="00D540CA">
        <w:rPr>
          <w:i/>
          <w:sz w:val="24"/>
        </w:rPr>
        <w:t>It’s not the BIG that eat the SMALL</w:t>
      </w:r>
      <w:r w:rsidR="00663C77" w:rsidRPr="005C7C1B">
        <w:rPr>
          <w:i/>
          <w:sz w:val="24"/>
        </w:rPr>
        <w:t>l, it’s</w:t>
      </w:r>
      <w:r w:rsidR="00663C77">
        <w:rPr>
          <w:sz w:val="24"/>
        </w:rPr>
        <w:t xml:space="preserve"> </w:t>
      </w:r>
      <w:r w:rsidR="00D540CA">
        <w:rPr>
          <w:i/>
          <w:sz w:val="24"/>
        </w:rPr>
        <w:t>the FAST that eat the SLOW”</w:t>
      </w:r>
      <w:r w:rsidR="005C7C1B">
        <w:rPr>
          <w:i/>
          <w:sz w:val="24"/>
        </w:rPr>
        <w:t xml:space="preserve"> – Laurence Haughto</w:t>
      </w:r>
      <w:r w:rsidR="00D540CA">
        <w:rPr>
          <w:i/>
          <w:sz w:val="24"/>
        </w:rPr>
        <w:t>n.</w:t>
      </w:r>
    </w:p>
    <w:p w:rsidR="00E31224" w:rsidRDefault="00E31224" w:rsidP="00BE2400">
      <w:pPr>
        <w:pStyle w:val="NoSpacing"/>
        <w:jc w:val="both"/>
        <w:rPr>
          <w:sz w:val="24"/>
        </w:rPr>
      </w:pPr>
    </w:p>
    <w:p w:rsidR="00E31224" w:rsidRDefault="00C74E11" w:rsidP="00BE2400">
      <w:pPr>
        <w:pStyle w:val="NoSpacing"/>
        <w:jc w:val="both"/>
        <w:rPr>
          <w:b/>
          <w:sz w:val="24"/>
          <w:u w:val="single"/>
        </w:rPr>
      </w:pPr>
      <w:r>
        <w:rPr>
          <w:b/>
          <w:sz w:val="24"/>
          <w:u w:val="single"/>
        </w:rPr>
        <w:t>The 5 C’s of Credit and</w:t>
      </w:r>
      <w:r w:rsidR="00E31224">
        <w:rPr>
          <w:b/>
          <w:sz w:val="24"/>
          <w:u w:val="single"/>
        </w:rPr>
        <w:t xml:space="preserve"> the Microentrepreneur</w:t>
      </w:r>
    </w:p>
    <w:p w:rsidR="00E31224" w:rsidRDefault="00E31224" w:rsidP="00BE2400">
      <w:pPr>
        <w:pStyle w:val="NoSpacing"/>
        <w:jc w:val="both"/>
        <w:rPr>
          <w:b/>
          <w:sz w:val="24"/>
          <w:u w:val="single"/>
        </w:rPr>
      </w:pPr>
    </w:p>
    <w:p w:rsidR="00F06BD5" w:rsidRDefault="001777E2" w:rsidP="00BE2400">
      <w:pPr>
        <w:pStyle w:val="NoSpacing"/>
        <w:jc w:val="both"/>
        <w:rPr>
          <w:sz w:val="24"/>
        </w:rPr>
      </w:pPr>
      <w:r>
        <w:rPr>
          <w:sz w:val="24"/>
        </w:rPr>
        <w:tab/>
        <w:t>Just like their Small and Medium Enterprise (SME) counterparts</w:t>
      </w:r>
      <w:r w:rsidR="00F06BD5">
        <w:rPr>
          <w:sz w:val="24"/>
        </w:rPr>
        <w:t xml:space="preserve">, microentrepreneurs do require access to financial </w:t>
      </w:r>
      <w:r w:rsidR="001C4760">
        <w:rPr>
          <w:sz w:val="24"/>
        </w:rPr>
        <w:t xml:space="preserve">products and </w:t>
      </w:r>
      <w:r w:rsidR="00F06BD5">
        <w:rPr>
          <w:sz w:val="24"/>
        </w:rPr>
        <w:t xml:space="preserve">services from the formal financial/banking sector.  </w:t>
      </w:r>
      <w:r w:rsidR="00C672F6">
        <w:rPr>
          <w:sz w:val="24"/>
        </w:rPr>
        <w:t xml:space="preserve">Financial products and services designed for the BOP market should consider the unique characteristics of microentrepreneurs and design credit evaluation processes attuned to the same.  Microcredit, in particular, should consider alternative ways of establishing the “5 C’s of Credit” when dealing with microentrepreneurs.  </w:t>
      </w:r>
    </w:p>
    <w:p w:rsidR="00C672F6" w:rsidRDefault="00C672F6" w:rsidP="00BE2400">
      <w:pPr>
        <w:pStyle w:val="NoSpacing"/>
        <w:jc w:val="both"/>
        <w:rPr>
          <w:sz w:val="24"/>
        </w:rPr>
      </w:pPr>
    </w:p>
    <w:tbl>
      <w:tblPr>
        <w:tblStyle w:val="MediumGrid2-Accent1"/>
        <w:tblW w:w="0" w:type="auto"/>
        <w:tblLook w:val="04A0"/>
      </w:tblPr>
      <w:tblGrid>
        <w:gridCol w:w="2448"/>
        <w:gridCol w:w="3510"/>
        <w:gridCol w:w="3618"/>
      </w:tblGrid>
      <w:tr w:rsidR="0089509E" w:rsidTr="0089509E">
        <w:trPr>
          <w:cnfStyle w:val="100000000000"/>
        </w:trPr>
        <w:tc>
          <w:tcPr>
            <w:cnfStyle w:val="001000000100"/>
            <w:tcW w:w="2448" w:type="dxa"/>
          </w:tcPr>
          <w:p w:rsidR="0089509E" w:rsidRDefault="009F417B" w:rsidP="0089509E">
            <w:pPr>
              <w:pStyle w:val="NoSpacing"/>
              <w:jc w:val="center"/>
              <w:rPr>
                <w:sz w:val="24"/>
              </w:rPr>
            </w:pPr>
            <w:r>
              <w:rPr>
                <w:sz w:val="24"/>
              </w:rPr>
              <w:t>5 C’s of Credit</w:t>
            </w:r>
          </w:p>
        </w:tc>
        <w:tc>
          <w:tcPr>
            <w:tcW w:w="3510" w:type="dxa"/>
          </w:tcPr>
          <w:p w:rsidR="0089509E" w:rsidRDefault="0089509E" w:rsidP="0089509E">
            <w:pPr>
              <w:pStyle w:val="NoSpacing"/>
              <w:jc w:val="center"/>
              <w:cnfStyle w:val="100000000000"/>
              <w:rPr>
                <w:sz w:val="24"/>
              </w:rPr>
            </w:pPr>
            <w:r>
              <w:rPr>
                <w:sz w:val="24"/>
              </w:rPr>
              <w:t>Microentrepreneur Profile</w:t>
            </w:r>
          </w:p>
        </w:tc>
        <w:tc>
          <w:tcPr>
            <w:tcW w:w="3618" w:type="dxa"/>
          </w:tcPr>
          <w:p w:rsidR="0089509E" w:rsidRDefault="007F20E1" w:rsidP="0089509E">
            <w:pPr>
              <w:pStyle w:val="NoSpacing"/>
              <w:jc w:val="center"/>
              <w:cnfStyle w:val="100000000000"/>
              <w:rPr>
                <w:sz w:val="24"/>
              </w:rPr>
            </w:pPr>
            <w:r>
              <w:rPr>
                <w:sz w:val="24"/>
              </w:rPr>
              <w:t xml:space="preserve">Credit </w:t>
            </w:r>
            <w:r w:rsidR="0089509E">
              <w:rPr>
                <w:sz w:val="24"/>
              </w:rPr>
              <w:t>Implications</w:t>
            </w:r>
          </w:p>
        </w:tc>
      </w:tr>
      <w:tr w:rsidR="00C11A07" w:rsidTr="0089509E">
        <w:trPr>
          <w:cnfStyle w:val="000000100000"/>
        </w:trPr>
        <w:tc>
          <w:tcPr>
            <w:cnfStyle w:val="001000000000"/>
            <w:tcW w:w="2448" w:type="dxa"/>
          </w:tcPr>
          <w:p w:rsidR="00C11A07" w:rsidRDefault="00C11A07" w:rsidP="00651438">
            <w:pPr>
              <w:pStyle w:val="NoSpacing"/>
              <w:jc w:val="both"/>
              <w:rPr>
                <w:sz w:val="24"/>
              </w:rPr>
            </w:pPr>
            <w:r>
              <w:rPr>
                <w:sz w:val="24"/>
              </w:rPr>
              <w:t>Character</w:t>
            </w:r>
          </w:p>
          <w:p w:rsidR="00C74E11" w:rsidRPr="00C74E11" w:rsidRDefault="00C74E11" w:rsidP="00651438">
            <w:pPr>
              <w:pStyle w:val="NoSpacing"/>
              <w:jc w:val="both"/>
              <w:rPr>
                <w:b w:val="0"/>
                <w:i/>
                <w:sz w:val="24"/>
              </w:rPr>
            </w:pPr>
            <w:r>
              <w:rPr>
                <w:b w:val="0"/>
                <w:i/>
                <w:sz w:val="24"/>
              </w:rPr>
              <w:t>(Borrower’s reputation)</w:t>
            </w:r>
          </w:p>
        </w:tc>
        <w:tc>
          <w:tcPr>
            <w:tcW w:w="3510" w:type="dxa"/>
          </w:tcPr>
          <w:p w:rsidR="00C11A07" w:rsidRDefault="00C11A07" w:rsidP="00651438">
            <w:pPr>
              <w:pStyle w:val="NoSpacing"/>
              <w:numPr>
                <w:ilvl w:val="0"/>
                <w:numId w:val="3"/>
              </w:numPr>
              <w:cnfStyle w:val="000000100000"/>
              <w:rPr>
                <w:sz w:val="24"/>
              </w:rPr>
            </w:pPr>
            <w:r>
              <w:rPr>
                <w:sz w:val="24"/>
              </w:rPr>
              <w:t>Limited/no access to formal sources of credit</w:t>
            </w:r>
          </w:p>
          <w:p w:rsidR="00C11A07" w:rsidRDefault="00C11A07" w:rsidP="00651438">
            <w:pPr>
              <w:pStyle w:val="NoSpacing"/>
              <w:numPr>
                <w:ilvl w:val="0"/>
                <w:numId w:val="3"/>
              </w:numPr>
              <w:cnfStyle w:val="000000100000"/>
              <w:rPr>
                <w:sz w:val="24"/>
              </w:rPr>
            </w:pPr>
            <w:r>
              <w:rPr>
                <w:sz w:val="24"/>
              </w:rPr>
              <w:t>No credit history</w:t>
            </w:r>
          </w:p>
        </w:tc>
        <w:tc>
          <w:tcPr>
            <w:tcW w:w="3618" w:type="dxa"/>
          </w:tcPr>
          <w:p w:rsidR="00C11A07" w:rsidRDefault="00C11A07" w:rsidP="00651438">
            <w:pPr>
              <w:pStyle w:val="NoSpacing"/>
              <w:numPr>
                <w:ilvl w:val="0"/>
                <w:numId w:val="3"/>
              </w:numPr>
              <w:cnfStyle w:val="000000100000"/>
              <w:rPr>
                <w:sz w:val="24"/>
              </w:rPr>
            </w:pPr>
            <w:r>
              <w:rPr>
                <w:sz w:val="24"/>
              </w:rPr>
              <w:t>Information on repayment behavior from sources, other than formal creditors</w:t>
            </w:r>
          </w:p>
        </w:tc>
      </w:tr>
      <w:tr w:rsidR="00C11A07" w:rsidTr="0089509E">
        <w:tc>
          <w:tcPr>
            <w:cnfStyle w:val="001000000000"/>
            <w:tcW w:w="2448" w:type="dxa"/>
          </w:tcPr>
          <w:p w:rsidR="00C11A07" w:rsidRDefault="00C11A07" w:rsidP="00651438">
            <w:pPr>
              <w:pStyle w:val="NoSpacing"/>
              <w:jc w:val="both"/>
              <w:rPr>
                <w:sz w:val="24"/>
              </w:rPr>
            </w:pPr>
            <w:r>
              <w:rPr>
                <w:sz w:val="24"/>
              </w:rPr>
              <w:t>Capacity</w:t>
            </w:r>
          </w:p>
          <w:p w:rsidR="00C74E11" w:rsidRPr="00C74E11" w:rsidRDefault="00C74E11" w:rsidP="00651438">
            <w:pPr>
              <w:pStyle w:val="NoSpacing"/>
              <w:jc w:val="both"/>
              <w:rPr>
                <w:b w:val="0"/>
                <w:i/>
                <w:sz w:val="24"/>
              </w:rPr>
            </w:pPr>
            <w:r>
              <w:rPr>
                <w:b w:val="0"/>
                <w:i/>
                <w:sz w:val="24"/>
              </w:rPr>
              <w:t>(Borrower’s repayment capacity</w:t>
            </w:r>
          </w:p>
        </w:tc>
        <w:tc>
          <w:tcPr>
            <w:tcW w:w="3510" w:type="dxa"/>
          </w:tcPr>
          <w:p w:rsidR="00C11A07" w:rsidRDefault="00C11A07" w:rsidP="00651438">
            <w:pPr>
              <w:pStyle w:val="NoSpacing"/>
              <w:numPr>
                <w:ilvl w:val="0"/>
                <w:numId w:val="2"/>
              </w:numPr>
              <w:jc w:val="both"/>
              <w:cnfStyle w:val="000000000000"/>
              <w:rPr>
                <w:sz w:val="24"/>
              </w:rPr>
            </w:pPr>
            <w:r>
              <w:rPr>
                <w:sz w:val="24"/>
              </w:rPr>
              <w:t>Basic or no financial records</w:t>
            </w:r>
          </w:p>
          <w:p w:rsidR="00C11A07" w:rsidRPr="0089509E" w:rsidRDefault="00C11A07" w:rsidP="00651438">
            <w:pPr>
              <w:pStyle w:val="NoSpacing"/>
              <w:numPr>
                <w:ilvl w:val="0"/>
                <w:numId w:val="2"/>
              </w:numPr>
              <w:jc w:val="both"/>
              <w:cnfStyle w:val="000000000000"/>
              <w:rPr>
                <w:sz w:val="24"/>
              </w:rPr>
            </w:pPr>
            <w:r w:rsidRPr="0089509E">
              <w:rPr>
                <w:sz w:val="24"/>
              </w:rPr>
              <w:t>Basic financial skills</w:t>
            </w:r>
          </w:p>
        </w:tc>
        <w:tc>
          <w:tcPr>
            <w:tcW w:w="3618" w:type="dxa"/>
          </w:tcPr>
          <w:p w:rsidR="00C11A07" w:rsidRDefault="00C11A07" w:rsidP="00651438">
            <w:pPr>
              <w:pStyle w:val="NoSpacing"/>
              <w:numPr>
                <w:ilvl w:val="0"/>
                <w:numId w:val="3"/>
              </w:numPr>
              <w:cnfStyle w:val="000000000000"/>
              <w:rPr>
                <w:sz w:val="24"/>
              </w:rPr>
            </w:pPr>
            <w:r>
              <w:rPr>
                <w:sz w:val="24"/>
              </w:rPr>
              <w:t xml:space="preserve">Re-construct business financial statements </w:t>
            </w:r>
          </w:p>
        </w:tc>
      </w:tr>
      <w:tr w:rsidR="00C11A07" w:rsidTr="0089509E">
        <w:trPr>
          <w:cnfStyle w:val="000000100000"/>
        </w:trPr>
        <w:tc>
          <w:tcPr>
            <w:cnfStyle w:val="001000000000"/>
            <w:tcW w:w="2448" w:type="dxa"/>
          </w:tcPr>
          <w:p w:rsidR="00C11A07" w:rsidRDefault="00C11A07" w:rsidP="00651438">
            <w:pPr>
              <w:pStyle w:val="NoSpacing"/>
              <w:jc w:val="both"/>
              <w:rPr>
                <w:sz w:val="24"/>
              </w:rPr>
            </w:pPr>
          </w:p>
        </w:tc>
        <w:tc>
          <w:tcPr>
            <w:tcW w:w="3510" w:type="dxa"/>
          </w:tcPr>
          <w:p w:rsidR="00C11A07" w:rsidRDefault="00C11A07" w:rsidP="00651438">
            <w:pPr>
              <w:pStyle w:val="NoSpacing"/>
              <w:numPr>
                <w:ilvl w:val="0"/>
                <w:numId w:val="3"/>
              </w:numPr>
              <w:cnfStyle w:val="000000100000"/>
              <w:rPr>
                <w:sz w:val="24"/>
              </w:rPr>
            </w:pPr>
            <w:r>
              <w:rPr>
                <w:sz w:val="24"/>
              </w:rPr>
              <w:t>Family and business are considered as one</w:t>
            </w:r>
          </w:p>
          <w:p w:rsidR="00C11A07" w:rsidRDefault="00C11A07" w:rsidP="00651438">
            <w:pPr>
              <w:pStyle w:val="NoSpacing"/>
              <w:numPr>
                <w:ilvl w:val="0"/>
                <w:numId w:val="3"/>
              </w:numPr>
              <w:cnfStyle w:val="000000100000"/>
              <w:rPr>
                <w:sz w:val="24"/>
              </w:rPr>
            </w:pPr>
            <w:r>
              <w:rPr>
                <w:sz w:val="24"/>
              </w:rPr>
              <w:t>Family-run enterprises</w:t>
            </w:r>
          </w:p>
          <w:p w:rsidR="00C11A07" w:rsidRDefault="00C11A07" w:rsidP="00651438">
            <w:pPr>
              <w:pStyle w:val="NoSpacing"/>
              <w:numPr>
                <w:ilvl w:val="0"/>
                <w:numId w:val="3"/>
              </w:numPr>
              <w:cnfStyle w:val="000000100000"/>
              <w:rPr>
                <w:sz w:val="24"/>
              </w:rPr>
            </w:pPr>
            <w:r>
              <w:rPr>
                <w:sz w:val="24"/>
              </w:rPr>
              <w:t>Multiple sources of income</w:t>
            </w:r>
          </w:p>
        </w:tc>
        <w:tc>
          <w:tcPr>
            <w:tcW w:w="3618" w:type="dxa"/>
          </w:tcPr>
          <w:p w:rsidR="00C11A07" w:rsidRDefault="00C11A07" w:rsidP="00651438">
            <w:pPr>
              <w:pStyle w:val="NoSpacing"/>
              <w:numPr>
                <w:ilvl w:val="0"/>
                <w:numId w:val="3"/>
              </w:numPr>
              <w:cnfStyle w:val="000000100000"/>
              <w:rPr>
                <w:sz w:val="24"/>
              </w:rPr>
            </w:pPr>
            <w:r>
              <w:rPr>
                <w:sz w:val="24"/>
              </w:rPr>
              <w:t>Fungibility of money</w:t>
            </w:r>
          </w:p>
          <w:p w:rsidR="00C11A07" w:rsidRDefault="00C11A07" w:rsidP="00651438">
            <w:pPr>
              <w:pStyle w:val="NoSpacing"/>
              <w:numPr>
                <w:ilvl w:val="0"/>
                <w:numId w:val="3"/>
              </w:numPr>
              <w:cnfStyle w:val="000000100000"/>
              <w:rPr>
                <w:sz w:val="24"/>
              </w:rPr>
            </w:pPr>
            <w:r>
              <w:rPr>
                <w:sz w:val="24"/>
              </w:rPr>
              <w:t>Repayment capacity considers entire household “wallet”</w:t>
            </w:r>
          </w:p>
        </w:tc>
      </w:tr>
      <w:tr w:rsidR="00C11A07" w:rsidTr="0089509E">
        <w:tc>
          <w:tcPr>
            <w:cnfStyle w:val="001000000000"/>
            <w:tcW w:w="2448" w:type="dxa"/>
          </w:tcPr>
          <w:p w:rsidR="00C11A07" w:rsidRDefault="00C11A07" w:rsidP="00651438">
            <w:pPr>
              <w:pStyle w:val="NoSpacing"/>
              <w:rPr>
                <w:sz w:val="24"/>
              </w:rPr>
            </w:pPr>
            <w:r>
              <w:rPr>
                <w:sz w:val="24"/>
              </w:rPr>
              <w:t>Capital</w:t>
            </w:r>
          </w:p>
          <w:p w:rsidR="00C74E11" w:rsidRPr="00C74E11" w:rsidRDefault="00C74E11" w:rsidP="00651438">
            <w:pPr>
              <w:pStyle w:val="NoSpacing"/>
              <w:rPr>
                <w:b w:val="0"/>
                <w:i/>
                <w:sz w:val="24"/>
              </w:rPr>
            </w:pPr>
            <w:r>
              <w:rPr>
                <w:b w:val="0"/>
                <w:i/>
                <w:sz w:val="24"/>
              </w:rPr>
              <w:t>(Borrower’s equity in the business)</w:t>
            </w:r>
          </w:p>
        </w:tc>
        <w:tc>
          <w:tcPr>
            <w:tcW w:w="3510" w:type="dxa"/>
          </w:tcPr>
          <w:p w:rsidR="00C11A07" w:rsidRDefault="00C11A07" w:rsidP="00651438">
            <w:pPr>
              <w:pStyle w:val="NoSpacing"/>
              <w:numPr>
                <w:ilvl w:val="0"/>
                <w:numId w:val="3"/>
              </w:numPr>
              <w:cnfStyle w:val="000000000000"/>
              <w:rPr>
                <w:sz w:val="24"/>
              </w:rPr>
            </w:pPr>
            <w:r>
              <w:rPr>
                <w:sz w:val="24"/>
              </w:rPr>
              <w:t>Small volume of operations</w:t>
            </w:r>
          </w:p>
          <w:p w:rsidR="00C11A07" w:rsidRDefault="00C11A07" w:rsidP="00651438">
            <w:pPr>
              <w:pStyle w:val="NoSpacing"/>
              <w:numPr>
                <w:ilvl w:val="0"/>
                <w:numId w:val="3"/>
              </w:numPr>
              <w:cnfStyle w:val="000000000000"/>
              <w:rPr>
                <w:sz w:val="24"/>
              </w:rPr>
            </w:pPr>
            <w:r>
              <w:rPr>
                <w:sz w:val="24"/>
              </w:rPr>
              <w:t>Fund requirement is immediate</w:t>
            </w:r>
          </w:p>
        </w:tc>
        <w:tc>
          <w:tcPr>
            <w:tcW w:w="3618" w:type="dxa"/>
          </w:tcPr>
          <w:p w:rsidR="00C11A07" w:rsidRDefault="0050237D" w:rsidP="00651438">
            <w:pPr>
              <w:pStyle w:val="NoSpacing"/>
              <w:numPr>
                <w:ilvl w:val="0"/>
                <w:numId w:val="3"/>
              </w:numPr>
              <w:cnfStyle w:val="000000000000"/>
              <w:rPr>
                <w:sz w:val="24"/>
              </w:rPr>
            </w:pPr>
            <w:r>
              <w:rPr>
                <w:sz w:val="24"/>
              </w:rPr>
              <w:t>“Human” capital</w:t>
            </w:r>
          </w:p>
          <w:p w:rsidR="00C11A07" w:rsidRDefault="00C11A07" w:rsidP="00651438">
            <w:pPr>
              <w:pStyle w:val="NoSpacing"/>
              <w:ind w:left="360"/>
              <w:cnfStyle w:val="000000000000"/>
              <w:rPr>
                <w:sz w:val="24"/>
              </w:rPr>
            </w:pPr>
          </w:p>
        </w:tc>
      </w:tr>
      <w:tr w:rsidR="00C11A07" w:rsidTr="0089509E">
        <w:trPr>
          <w:cnfStyle w:val="000000100000"/>
        </w:trPr>
        <w:tc>
          <w:tcPr>
            <w:cnfStyle w:val="001000000000"/>
            <w:tcW w:w="2448" w:type="dxa"/>
          </w:tcPr>
          <w:p w:rsidR="00C11A07" w:rsidRDefault="00C11A07" w:rsidP="00651438">
            <w:pPr>
              <w:pStyle w:val="NoSpacing"/>
              <w:jc w:val="both"/>
              <w:rPr>
                <w:sz w:val="24"/>
              </w:rPr>
            </w:pPr>
            <w:r>
              <w:rPr>
                <w:sz w:val="24"/>
              </w:rPr>
              <w:t>Collateral</w:t>
            </w:r>
          </w:p>
          <w:p w:rsidR="00C74E11" w:rsidRPr="00C74E11" w:rsidRDefault="00C74E11" w:rsidP="00651438">
            <w:pPr>
              <w:pStyle w:val="NoSpacing"/>
              <w:jc w:val="both"/>
              <w:rPr>
                <w:b w:val="0"/>
                <w:i/>
                <w:sz w:val="24"/>
              </w:rPr>
            </w:pPr>
            <w:r>
              <w:rPr>
                <w:b w:val="0"/>
                <w:i/>
                <w:sz w:val="24"/>
              </w:rPr>
              <w:t>(Security to cover the loan)</w:t>
            </w:r>
          </w:p>
        </w:tc>
        <w:tc>
          <w:tcPr>
            <w:tcW w:w="3510" w:type="dxa"/>
          </w:tcPr>
          <w:p w:rsidR="00C11A07" w:rsidRDefault="00C11A07" w:rsidP="00651438">
            <w:pPr>
              <w:pStyle w:val="NoSpacing"/>
              <w:numPr>
                <w:ilvl w:val="0"/>
                <w:numId w:val="3"/>
              </w:numPr>
              <w:cnfStyle w:val="000000100000"/>
              <w:rPr>
                <w:sz w:val="24"/>
              </w:rPr>
            </w:pPr>
            <w:r>
              <w:rPr>
                <w:sz w:val="24"/>
              </w:rPr>
              <w:t>Rudimentary or obsolete equipment</w:t>
            </w:r>
          </w:p>
          <w:p w:rsidR="00C11A07" w:rsidRDefault="00C11A07" w:rsidP="00651438">
            <w:pPr>
              <w:pStyle w:val="NoSpacing"/>
              <w:numPr>
                <w:ilvl w:val="0"/>
                <w:numId w:val="3"/>
              </w:numPr>
              <w:cnfStyle w:val="000000100000"/>
              <w:rPr>
                <w:sz w:val="24"/>
              </w:rPr>
            </w:pPr>
            <w:r>
              <w:rPr>
                <w:sz w:val="24"/>
              </w:rPr>
              <w:t>No marketable collateral to offer</w:t>
            </w:r>
          </w:p>
        </w:tc>
        <w:tc>
          <w:tcPr>
            <w:tcW w:w="3618" w:type="dxa"/>
          </w:tcPr>
          <w:p w:rsidR="00C11A07" w:rsidRDefault="00C11A07" w:rsidP="00651438">
            <w:pPr>
              <w:pStyle w:val="NoSpacing"/>
              <w:numPr>
                <w:ilvl w:val="0"/>
                <w:numId w:val="3"/>
              </w:numPr>
              <w:cnfStyle w:val="000000100000"/>
              <w:rPr>
                <w:sz w:val="24"/>
              </w:rPr>
            </w:pPr>
            <w:r>
              <w:rPr>
                <w:sz w:val="24"/>
              </w:rPr>
              <w:t>Focus on repayment behavior, rather than collateral.</w:t>
            </w:r>
          </w:p>
          <w:p w:rsidR="00C11A07" w:rsidRDefault="00C11A07" w:rsidP="00651438">
            <w:pPr>
              <w:pStyle w:val="NoSpacing"/>
              <w:numPr>
                <w:ilvl w:val="0"/>
                <w:numId w:val="3"/>
              </w:numPr>
              <w:cnfStyle w:val="000000100000"/>
              <w:rPr>
                <w:sz w:val="24"/>
              </w:rPr>
            </w:pPr>
            <w:r>
              <w:rPr>
                <w:sz w:val="24"/>
              </w:rPr>
              <w:t>Collateral substitutes as a risk mitigation tool</w:t>
            </w:r>
          </w:p>
        </w:tc>
      </w:tr>
      <w:tr w:rsidR="00C11A07" w:rsidTr="0089509E">
        <w:tc>
          <w:tcPr>
            <w:cnfStyle w:val="001000000000"/>
            <w:tcW w:w="2448" w:type="dxa"/>
          </w:tcPr>
          <w:p w:rsidR="00C11A07" w:rsidRDefault="00C11A07" w:rsidP="0089509E">
            <w:pPr>
              <w:pStyle w:val="NoSpacing"/>
              <w:rPr>
                <w:sz w:val="24"/>
              </w:rPr>
            </w:pPr>
            <w:r>
              <w:rPr>
                <w:sz w:val="24"/>
              </w:rPr>
              <w:t>Condition</w:t>
            </w:r>
          </w:p>
          <w:p w:rsidR="00C74E11" w:rsidRPr="00C74E11" w:rsidRDefault="00C74E11" w:rsidP="0089509E">
            <w:pPr>
              <w:pStyle w:val="NoSpacing"/>
              <w:rPr>
                <w:b w:val="0"/>
                <w:i/>
                <w:sz w:val="24"/>
              </w:rPr>
            </w:pPr>
            <w:r>
              <w:rPr>
                <w:b w:val="0"/>
                <w:i/>
                <w:sz w:val="24"/>
              </w:rPr>
              <w:t>(Loan terms and conditions)</w:t>
            </w:r>
          </w:p>
        </w:tc>
        <w:tc>
          <w:tcPr>
            <w:tcW w:w="3510" w:type="dxa"/>
          </w:tcPr>
          <w:p w:rsidR="00C11A07" w:rsidRDefault="00C11A07" w:rsidP="00BE4298">
            <w:pPr>
              <w:pStyle w:val="NoSpacing"/>
              <w:numPr>
                <w:ilvl w:val="0"/>
                <w:numId w:val="3"/>
              </w:numPr>
              <w:jc w:val="both"/>
              <w:cnfStyle w:val="000000000000"/>
              <w:rPr>
                <w:sz w:val="24"/>
              </w:rPr>
            </w:pPr>
            <w:r>
              <w:rPr>
                <w:sz w:val="24"/>
              </w:rPr>
              <w:t>Low educational level</w:t>
            </w:r>
          </w:p>
        </w:tc>
        <w:tc>
          <w:tcPr>
            <w:tcW w:w="3618" w:type="dxa"/>
          </w:tcPr>
          <w:p w:rsidR="00C11A07" w:rsidRDefault="00C11A07" w:rsidP="0089509E">
            <w:pPr>
              <w:pStyle w:val="NoSpacing"/>
              <w:numPr>
                <w:ilvl w:val="0"/>
                <w:numId w:val="3"/>
              </w:numPr>
              <w:cnfStyle w:val="000000000000"/>
              <w:rPr>
                <w:sz w:val="24"/>
              </w:rPr>
            </w:pPr>
            <w:r>
              <w:rPr>
                <w:sz w:val="24"/>
              </w:rPr>
              <w:t>“Sachet-fied” loan package</w:t>
            </w:r>
          </w:p>
          <w:p w:rsidR="00C11A07" w:rsidRDefault="00C11A07" w:rsidP="0089509E">
            <w:pPr>
              <w:pStyle w:val="NoSpacing"/>
              <w:numPr>
                <w:ilvl w:val="0"/>
                <w:numId w:val="3"/>
              </w:numPr>
              <w:cnfStyle w:val="000000000000"/>
              <w:rPr>
                <w:sz w:val="24"/>
              </w:rPr>
            </w:pPr>
            <w:r>
              <w:rPr>
                <w:sz w:val="24"/>
              </w:rPr>
              <w:t>Cash flow-based loan packaging</w:t>
            </w:r>
          </w:p>
          <w:p w:rsidR="00C11A07" w:rsidRDefault="00C11A07" w:rsidP="0089509E">
            <w:pPr>
              <w:pStyle w:val="NoSpacing"/>
              <w:numPr>
                <w:ilvl w:val="0"/>
                <w:numId w:val="3"/>
              </w:numPr>
              <w:cnfStyle w:val="000000000000"/>
              <w:rPr>
                <w:sz w:val="24"/>
              </w:rPr>
            </w:pPr>
            <w:r>
              <w:rPr>
                <w:sz w:val="24"/>
              </w:rPr>
              <w:t>Simplified loan documentation and processes</w:t>
            </w:r>
          </w:p>
          <w:p w:rsidR="0050237D" w:rsidRPr="0050237D" w:rsidRDefault="0050237D" w:rsidP="0050237D">
            <w:pPr>
              <w:pStyle w:val="NoSpacing"/>
              <w:numPr>
                <w:ilvl w:val="0"/>
                <w:numId w:val="3"/>
              </w:numPr>
              <w:cnfStyle w:val="000000000000"/>
              <w:rPr>
                <w:sz w:val="24"/>
              </w:rPr>
            </w:pPr>
            <w:r>
              <w:rPr>
                <w:sz w:val="24"/>
              </w:rPr>
              <w:t>Quick turnaround time</w:t>
            </w:r>
          </w:p>
        </w:tc>
      </w:tr>
    </w:tbl>
    <w:p w:rsidR="00F06BD5" w:rsidRDefault="00F06BD5" w:rsidP="00BE2400">
      <w:pPr>
        <w:pStyle w:val="NoSpacing"/>
        <w:jc w:val="both"/>
        <w:rPr>
          <w:sz w:val="24"/>
        </w:rPr>
      </w:pPr>
    </w:p>
    <w:p w:rsidR="0085073F" w:rsidRDefault="001C4760" w:rsidP="00BE2400">
      <w:pPr>
        <w:pStyle w:val="NoSpacing"/>
        <w:jc w:val="both"/>
        <w:rPr>
          <w:b/>
          <w:sz w:val="24"/>
          <w:u w:val="single"/>
        </w:rPr>
      </w:pPr>
      <w:r>
        <w:rPr>
          <w:b/>
          <w:sz w:val="24"/>
          <w:u w:val="single"/>
        </w:rPr>
        <w:t>Philippine Regulatory Environment for Microfinance</w:t>
      </w:r>
    </w:p>
    <w:p w:rsidR="001C4760" w:rsidRDefault="001C4760" w:rsidP="00BE2400">
      <w:pPr>
        <w:pStyle w:val="NoSpacing"/>
        <w:jc w:val="both"/>
        <w:rPr>
          <w:b/>
          <w:sz w:val="24"/>
          <w:u w:val="single"/>
        </w:rPr>
      </w:pPr>
    </w:p>
    <w:p w:rsidR="001C4760" w:rsidRDefault="005C7C1B" w:rsidP="00BE2400">
      <w:pPr>
        <w:pStyle w:val="NoSpacing"/>
        <w:jc w:val="both"/>
        <w:rPr>
          <w:sz w:val="24"/>
        </w:rPr>
      </w:pPr>
      <w:r>
        <w:rPr>
          <w:sz w:val="24"/>
        </w:rPr>
        <w:t xml:space="preserve">In the 2010 </w:t>
      </w:r>
      <w:r w:rsidR="001C4760">
        <w:rPr>
          <w:sz w:val="24"/>
        </w:rPr>
        <w:t xml:space="preserve">Global Microscope on the microfinance business environment </w:t>
      </w:r>
      <w:r>
        <w:rPr>
          <w:sz w:val="24"/>
        </w:rPr>
        <w:t xml:space="preserve">Report </w:t>
      </w:r>
      <w:r w:rsidR="000C69AB">
        <w:rPr>
          <w:sz w:val="24"/>
        </w:rPr>
        <w:t>by the Economist Intelligence Unit, the Philippines was ranked No. 2, behind Peru which retained its No. 1 position as a leader in microfinance worldwide; the Philippines overtook Bolivia which dropped to the 3</w:t>
      </w:r>
      <w:r w:rsidR="000C69AB" w:rsidRPr="000C69AB">
        <w:rPr>
          <w:sz w:val="24"/>
          <w:vertAlign w:val="superscript"/>
        </w:rPr>
        <w:t>rd</w:t>
      </w:r>
      <w:r w:rsidR="000C69AB">
        <w:rPr>
          <w:sz w:val="24"/>
        </w:rPr>
        <w:t xml:space="preserve"> place slot, from 2</w:t>
      </w:r>
      <w:r w:rsidR="000C69AB" w:rsidRPr="000C69AB">
        <w:rPr>
          <w:sz w:val="24"/>
          <w:vertAlign w:val="superscript"/>
        </w:rPr>
        <w:t>nd</w:t>
      </w:r>
      <w:r w:rsidR="000C69AB">
        <w:rPr>
          <w:sz w:val="24"/>
        </w:rPr>
        <w:t xml:space="preserve"> place in 2009.  In terms of its microfinance regulatory environment, th</w:t>
      </w:r>
      <w:r>
        <w:rPr>
          <w:sz w:val="24"/>
        </w:rPr>
        <w:t>e Philippines ranked No.1</w:t>
      </w:r>
      <w:r w:rsidR="000C69AB">
        <w:rPr>
          <w:sz w:val="24"/>
        </w:rPr>
        <w:t>, outpacing industry leader, Peru.</w:t>
      </w:r>
    </w:p>
    <w:p w:rsidR="000C69AB" w:rsidRDefault="000C69AB" w:rsidP="00BE2400">
      <w:pPr>
        <w:pStyle w:val="NoSpacing"/>
        <w:jc w:val="both"/>
        <w:rPr>
          <w:sz w:val="24"/>
        </w:rPr>
      </w:pPr>
    </w:p>
    <w:p w:rsidR="000C69AB" w:rsidRDefault="000C69AB" w:rsidP="00BE2400">
      <w:pPr>
        <w:pStyle w:val="NoSpacing"/>
        <w:jc w:val="both"/>
        <w:rPr>
          <w:sz w:val="24"/>
        </w:rPr>
      </w:pPr>
      <w:r>
        <w:rPr>
          <w:sz w:val="24"/>
        </w:rPr>
        <w:t>With over 24 million of its population comprising the “bottom of the pyramid” segment the Philippine Government issued Republic Act 8425</w:t>
      </w:r>
      <w:r w:rsidR="000D7F10">
        <w:rPr>
          <w:sz w:val="24"/>
        </w:rPr>
        <w:t xml:space="preserve"> in 1997</w:t>
      </w:r>
      <w:r>
        <w:rPr>
          <w:sz w:val="24"/>
        </w:rPr>
        <w:t xml:space="preserve"> which </w:t>
      </w:r>
      <w:r w:rsidR="000D7F10">
        <w:rPr>
          <w:sz w:val="24"/>
        </w:rPr>
        <w:t xml:space="preserve">institutionalized its </w:t>
      </w:r>
      <w:r>
        <w:rPr>
          <w:sz w:val="24"/>
        </w:rPr>
        <w:t>social</w:t>
      </w:r>
      <w:r w:rsidR="000D7F10">
        <w:rPr>
          <w:sz w:val="24"/>
        </w:rPr>
        <w:t xml:space="preserve"> reform and poverty alleviation program.  In support of the government’s initiative, </w:t>
      </w:r>
      <w:r>
        <w:rPr>
          <w:sz w:val="24"/>
        </w:rPr>
        <w:t>the Bangko Sentral ng Pilipinas (the Philippine Central Bank) issued Circular 272</w:t>
      </w:r>
      <w:r w:rsidR="000D7F10">
        <w:rPr>
          <w:sz w:val="24"/>
        </w:rPr>
        <w:t xml:space="preserve"> (2001) </w:t>
      </w:r>
      <w:r>
        <w:rPr>
          <w:sz w:val="24"/>
        </w:rPr>
        <w:t xml:space="preserve"> which laid down the basic guidelines for the implementation of microfinance by the banking sector.</w:t>
      </w:r>
      <w:r w:rsidR="00A07CAE">
        <w:rPr>
          <w:sz w:val="24"/>
        </w:rPr>
        <w:t xml:space="preserve">  Of the over 797 banks regulated by the Bangko Sentral, 27% (215) of these banks have microfinance-related activities; 195 of these 215 banks are rural banks.</w:t>
      </w:r>
    </w:p>
    <w:p w:rsidR="00A07CAE" w:rsidRDefault="00A07CAE" w:rsidP="00BE2400">
      <w:pPr>
        <w:pStyle w:val="NoSpacing"/>
        <w:jc w:val="both"/>
        <w:rPr>
          <w:sz w:val="24"/>
        </w:rPr>
      </w:pPr>
    </w:p>
    <w:p w:rsidR="00A07CAE" w:rsidRDefault="00A07CAE" w:rsidP="00BE2400">
      <w:pPr>
        <w:pStyle w:val="NoSpacing"/>
        <w:jc w:val="both"/>
        <w:rPr>
          <w:b/>
          <w:sz w:val="24"/>
          <w:u w:val="single"/>
        </w:rPr>
      </w:pPr>
      <w:r>
        <w:rPr>
          <w:b/>
          <w:sz w:val="24"/>
          <w:u w:val="single"/>
        </w:rPr>
        <w:t>The RCBC Microfinance Initiative</w:t>
      </w:r>
    </w:p>
    <w:p w:rsidR="00A07CAE" w:rsidRDefault="00A07CAE" w:rsidP="00BE2400">
      <w:pPr>
        <w:pStyle w:val="NoSpacing"/>
        <w:jc w:val="both"/>
        <w:rPr>
          <w:b/>
          <w:sz w:val="24"/>
          <w:u w:val="single"/>
        </w:rPr>
      </w:pPr>
    </w:p>
    <w:p w:rsidR="00A07CAE" w:rsidRDefault="00A07CAE" w:rsidP="00BE2400">
      <w:pPr>
        <w:pStyle w:val="NoSpacing"/>
        <w:jc w:val="both"/>
        <w:rPr>
          <w:sz w:val="24"/>
        </w:rPr>
      </w:pPr>
      <w:r>
        <w:rPr>
          <w:sz w:val="24"/>
        </w:rPr>
        <w:t>RCBC started its foray into the microfinance space in the middle of 2009</w:t>
      </w:r>
      <w:r w:rsidR="00D540CA">
        <w:rPr>
          <w:sz w:val="24"/>
        </w:rPr>
        <w:t>.  Aware of the vast difference in lending methodology and skills set required, microfinance operations were initiated</w:t>
      </w:r>
      <w:r>
        <w:rPr>
          <w:sz w:val="24"/>
        </w:rPr>
        <w:t xml:space="preserve"> through </w:t>
      </w:r>
      <w:r w:rsidR="00D540CA">
        <w:rPr>
          <w:sz w:val="24"/>
        </w:rPr>
        <w:t xml:space="preserve">two subsidiaries -  </w:t>
      </w:r>
      <w:r>
        <w:rPr>
          <w:sz w:val="24"/>
        </w:rPr>
        <w:t>Pres. Jose P. Laurel Rural Bank, Inc. which</w:t>
      </w:r>
      <w:r w:rsidR="00D540CA">
        <w:rPr>
          <w:sz w:val="24"/>
        </w:rPr>
        <w:t xml:space="preserve"> operates in the Southern Luzon and Rizal Microbank which is headquartered in Southern Mindanao.  </w:t>
      </w:r>
      <w:r>
        <w:rPr>
          <w:sz w:val="24"/>
        </w:rPr>
        <w:t xml:space="preserve">As of May 2011, the bank has disbursed over 4700 loans with an aggregate disbursement of USD $5.06 million.  Loan sizes have averaged at around USD $1,000 with terms ranging from 3-6 months.  </w:t>
      </w:r>
      <w:r>
        <w:rPr>
          <w:sz w:val="24"/>
        </w:rPr>
        <w:lastRenderedPageBreak/>
        <w:t>Loan portfolio quality has been maintained at 0.43% measured on the basis of PAR&gt; 1 days, levels much better than industry benchmarks of 4.6% PAR&gt; 30 days.</w:t>
      </w:r>
      <w:r w:rsidR="00D540CA">
        <w:rPr>
          <w:sz w:val="24"/>
        </w:rPr>
        <w:t xml:space="preserve">  The bank’s microfinance portfolio has been growing exponentially and a 200% growth over 2010 performance is expected in 2011.</w:t>
      </w:r>
    </w:p>
    <w:p w:rsidR="00D540CA" w:rsidRDefault="00D540CA" w:rsidP="00BE2400">
      <w:pPr>
        <w:pStyle w:val="NoSpacing"/>
        <w:jc w:val="both"/>
        <w:rPr>
          <w:sz w:val="24"/>
        </w:rPr>
      </w:pPr>
    </w:p>
    <w:p w:rsidR="00D540CA" w:rsidRDefault="00D540CA" w:rsidP="00BE2400">
      <w:pPr>
        <w:pStyle w:val="NoSpacing"/>
        <w:jc w:val="both"/>
        <w:rPr>
          <w:b/>
          <w:sz w:val="24"/>
          <w:u w:val="single"/>
        </w:rPr>
      </w:pPr>
      <w:r>
        <w:rPr>
          <w:b/>
          <w:sz w:val="24"/>
          <w:u w:val="single"/>
        </w:rPr>
        <w:t>IN CLOSING …</w:t>
      </w:r>
    </w:p>
    <w:p w:rsidR="00D540CA" w:rsidRDefault="00D540CA" w:rsidP="00BE2400">
      <w:pPr>
        <w:pStyle w:val="NoSpacing"/>
        <w:jc w:val="both"/>
        <w:rPr>
          <w:b/>
          <w:sz w:val="24"/>
          <w:u w:val="single"/>
        </w:rPr>
      </w:pPr>
    </w:p>
    <w:p w:rsidR="00D540CA" w:rsidRDefault="00D540CA" w:rsidP="00D540CA">
      <w:pPr>
        <w:pStyle w:val="NoSpacing"/>
        <w:jc w:val="both"/>
        <w:rPr>
          <w:b/>
          <w:i/>
          <w:sz w:val="24"/>
        </w:rPr>
      </w:pPr>
      <w:r w:rsidRPr="00D540CA">
        <w:rPr>
          <w:sz w:val="24"/>
        </w:rPr>
        <w:t>At the “bottom of the pyramid” the name of the game is “speed”</w:t>
      </w:r>
      <w:r w:rsidR="00050D12">
        <w:rPr>
          <w:b/>
          <w:sz w:val="24"/>
        </w:rPr>
        <w:t xml:space="preserve"> </w:t>
      </w:r>
      <w:r w:rsidR="00050D12">
        <w:rPr>
          <w:sz w:val="24"/>
        </w:rPr>
        <w:t>-</w:t>
      </w:r>
      <w:r w:rsidRPr="00D540CA">
        <w:rPr>
          <w:b/>
          <w:sz w:val="24"/>
        </w:rPr>
        <w:t xml:space="preserve">  </w:t>
      </w:r>
      <w:r w:rsidRPr="00D540CA">
        <w:rPr>
          <w:b/>
          <w:i/>
          <w:sz w:val="24"/>
        </w:rPr>
        <w:t>“It’s not the BIG that eat the SMALL, it’s</w:t>
      </w:r>
      <w:r w:rsidRPr="00D540CA">
        <w:rPr>
          <w:b/>
          <w:sz w:val="24"/>
        </w:rPr>
        <w:t xml:space="preserve"> </w:t>
      </w:r>
      <w:r w:rsidRPr="00D540CA">
        <w:rPr>
          <w:b/>
          <w:i/>
          <w:sz w:val="24"/>
        </w:rPr>
        <w:t>the FAST that eat the SLOW” – Laurence Haughton.</w:t>
      </w:r>
    </w:p>
    <w:p w:rsidR="00D540CA" w:rsidRDefault="00D540CA" w:rsidP="00D540CA">
      <w:pPr>
        <w:pStyle w:val="NoSpacing"/>
        <w:jc w:val="both"/>
        <w:rPr>
          <w:b/>
          <w:i/>
          <w:sz w:val="24"/>
        </w:rPr>
      </w:pPr>
    </w:p>
    <w:p w:rsidR="00D540CA" w:rsidRPr="00D540CA" w:rsidRDefault="00D540CA" w:rsidP="00D540CA">
      <w:pPr>
        <w:pStyle w:val="NoSpacing"/>
        <w:jc w:val="both"/>
        <w:rPr>
          <w:sz w:val="24"/>
        </w:rPr>
      </w:pPr>
      <w:r>
        <w:rPr>
          <w:sz w:val="24"/>
        </w:rPr>
        <w:t>Thank you.</w:t>
      </w:r>
    </w:p>
    <w:p w:rsidR="00D540CA" w:rsidRDefault="00D540CA" w:rsidP="00D540CA">
      <w:pPr>
        <w:pStyle w:val="NoSpacing"/>
        <w:jc w:val="both"/>
        <w:rPr>
          <w:sz w:val="24"/>
        </w:rPr>
      </w:pPr>
    </w:p>
    <w:p w:rsidR="00D540CA" w:rsidRDefault="00D540CA" w:rsidP="00BE2400">
      <w:pPr>
        <w:pStyle w:val="NoSpacing"/>
        <w:jc w:val="both"/>
        <w:rPr>
          <w:b/>
          <w:sz w:val="24"/>
          <w:u w:val="single"/>
        </w:rPr>
      </w:pPr>
    </w:p>
    <w:p w:rsidR="00D540CA" w:rsidRPr="00D540CA" w:rsidRDefault="00D540CA" w:rsidP="00BE2400">
      <w:pPr>
        <w:pStyle w:val="NoSpacing"/>
        <w:jc w:val="both"/>
        <w:rPr>
          <w:sz w:val="24"/>
        </w:rPr>
      </w:pPr>
    </w:p>
    <w:p w:rsidR="00D540CA" w:rsidRDefault="00D540CA" w:rsidP="00BE2400">
      <w:pPr>
        <w:pStyle w:val="NoSpacing"/>
        <w:jc w:val="both"/>
        <w:rPr>
          <w:sz w:val="24"/>
        </w:rPr>
      </w:pPr>
    </w:p>
    <w:p w:rsidR="00D540CA" w:rsidRDefault="00D540CA" w:rsidP="00BE2400">
      <w:pPr>
        <w:pStyle w:val="NoSpacing"/>
        <w:jc w:val="both"/>
        <w:rPr>
          <w:sz w:val="24"/>
        </w:rPr>
      </w:pPr>
    </w:p>
    <w:p w:rsidR="00D540CA" w:rsidRDefault="00D540CA" w:rsidP="00BE2400">
      <w:pPr>
        <w:pStyle w:val="NoSpacing"/>
        <w:jc w:val="both"/>
        <w:rPr>
          <w:sz w:val="24"/>
        </w:rPr>
      </w:pPr>
    </w:p>
    <w:p w:rsidR="00D540CA" w:rsidRPr="00A07CAE" w:rsidRDefault="00D540CA" w:rsidP="00BE2400">
      <w:pPr>
        <w:pStyle w:val="NoSpacing"/>
        <w:jc w:val="both"/>
        <w:rPr>
          <w:sz w:val="24"/>
        </w:rPr>
      </w:pPr>
    </w:p>
    <w:sectPr w:rsidR="00D540CA" w:rsidRPr="00A07CAE" w:rsidSect="005A02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6887"/>
    <w:multiLevelType w:val="hybridMultilevel"/>
    <w:tmpl w:val="813EB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3427EA"/>
    <w:multiLevelType w:val="hybridMultilevel"/>
    <w:tmpl w:val="22F68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E501DD"/>
    <w:multiLevelType w:val="hybridMultilevel"/>
    <w:tmpl w:val="23503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2400"/>
    <w:rsid w:val="00050D12"/>
    <w:rsid w:val="000C69AB"/>
    <w:rsid w:val="000D7F10"/>
    <w:rsid w:val="001777E2"/>
    <w:rsid w:val="001C4760"/>
    <w:rsid w:val="00384C2B"/>
    <w:rsid w:val="00455EFD"/>
    <w:rsid w:val="00485444"/>
    <w:rsid w:val="0050237D"/>
    <w:rsid w:val="005A020E"/>
    <w:rsid w:val="005C7C1B"/>
    <w:rsid w:val="00663C77"/>
    <w:rsid w:val="007F20E1"/>
    <w:rsid w:val="0085073F"/>
    <w:rsid w:val="0089509E"/>
    <w:rsid w:val="009430BC"/>
    <w:rsid w:val="009942B0"/>
    <w:rsid w:val="009F417B"/>
    <w:rsid w:val="00A07CAE"/>
    <w:rsid w:val="00BE2400"/>
    <w:rsid w:val="00BE4298"/>
    <w:rsid w:val="00C11A07"/>
    <w:rsid w:val="00C612C6"/>
    <w:rsid w:val="00C672F6"/>
    <w:rsid w:val="00C74E11"/>
    <w:rsid w:val="00D513A3"/>
    <w:rsid w:val="00D540CA"/>
    <w:rsid w:val="00DC7B97"/>
    <w:rsid w:val="00E31224"/>
    <w:rsid w:val="00EF2AB8"/>
    <w:rsid w:val="00F06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400"/>
    <w:pPr>
      <w:spacing w:after="0" w:line="240" w:lineRule="auto"/>
    </w:pPr>
  </w:style>
  <w:style w:type="table" w:styleId="TableGrid">
    <w:name w:val="Table Grid"/>
    <w:basedOn w:val="TableNormal"/>
    <w:uiPriority w:val="59"/>
    <w:rsid w:val="00F06B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2-Accent1">
    <w:name w:val="Medium Grid 2 Accent 1"/>
    <w:basedOn w:val="TableNormal"/>
    <w:uiPriority w:val="68"/>
    <w:rsid w:val="00F06B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c:creator>
  <cp:keywords/>
  <dc:description/>
  <cp:lastModifiedBy>Long</cp:lastModifiedBy>
  <cp:revision>9</cp:revision>
  <dcterms:created xsi:type="dcterms:W3CDTF">2011-06-08T01:10:00Z</dcterms:created>
  <dcterms:modified xsi:type="dcterms:W3CDTF">2011-06-12T07:55:00Z</dcterms:modified>
</cp:coreProperties>
</file>